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18566" w14:textId="77777777" w:rsidR="00956594" w:rsidRPr="00070FC1" w:rsidRDefault="00956594" w:rsidP="00D439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0FC1">
        <w:rPr>
          <w:rFonts w:ascii="Times New Roman" w:hAnsi="Times New Roman" w:cs="Times New Roman"/>
          <w:b/>
          <w:sz w:val="28"/>
          <w:szCs w:val="28"/>
          <w:lang w:val="en-US"/>
        </w:rPr>
        <w:t>SUPPLEMENTARY INFORMATION</w:t>
      </w:r>
    </w:p>
    <w:p w14:paraId="4AE79CA8" w14:textId="77777777" w:rsidR="00956594" w:rsidRDefault="00956594" w:rsidP="00D439D0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71A396" w14:textId="77777777" w:rsidR="00070FC1" w:rsidRPr="00070FC1" w:rsidRDefault="00070FC1" w:rsidP="00D439D0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70FC1">
        <w:rPr>
          <w:rFonts w:ascii="Times New Roman" w:hAnsi="Times New Roman" w:cs="Times New Roman"/>
          <w:sz w:val="24"/>
          <w:szCs w:val="24"/>
          <w:lang w:val="en-US"/>
        </w:rPr>
        <w:t>for</w:t>
      </w:r>
    </w:p>
    <w:p w14:paraId="4938F8FB" w14:textId="1DC30679" w:rsidR="008C677B" w:rsidRDefault="008C677B" w:rsidP="008C67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8C67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Factors controlling nitrous oxide emissions </w:t>
      </w:r>
      <w:bookmarkEnd w:id="0"/>
      <w:r w:rsidRPr="008C67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from managed </w:t>
      </w:r>
      <w:r w:rsidR="00A01841" w:rsidRPr="005126B3">
        <w:rPr>
          <w:rFonts w:ascii="Times New Roman" w:hAnsi="Times New Roman" w:cs="Times New Roman"/>
          <w:b/>
          <w:sz w:val="24"/>
          <w:szCs w:val="24"/>
          <w:lang w:val="en-US"/>
        </w:rPr>
        <w:t>northern</w:t>
      </w:r>
      <w:r w:rsidR="00A018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677B">
        <w:rPr>
          <w:rFonts w:ascii="Times New Roman" w:hAnsi="Times New Roman" w:cs="Times New Roman"/>
          <w:b/>
          <w:sz w:val="24"/>
          <w:szCs w:val="24"/>
          <w:lang w:val="en-US"/>
        </w:rPr>
        <w:t>peat soils with low carbon to nitrogen ratio</w:t>
      </w:r>
    </w:p>
    <w:p w14:paraId="05800112" w14:textId="0F3C13B3" w:rsidR="008C677B" w:rsidRPr="00893997" w:rsidRDefault="008C677B" w:rsidP="00D43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997">
        <w:rPr>
          <w:rFonts w:ascii="Times New Roman" w:hAnsi="Times New Roman" w:cs="Times New Roman"/>
          <w:sz w:val="24"/>
          <w:szCs w:val="24"/>
        </w:rPr>
        <w:t>Maarit Liimatainen</w:t>
      </w:r>
      <w:r w:rsidRPr="0089399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893997">
        <w:rPr>
          <w:rFonts w:ascii="Times New Roman" w:hAnsi="Times New Roman" w:cs="Times New Roman"/>
          <w:sz w:val="24"/>
          <w:szCs w:val="24"/>
        </w:rPr>
        <w:t xml:space="preserve">*, </w:t>
      </w:r>
      <w:r w:rsidR="00AF6DF0" w:rsidRPr="00893997">
        <w:rPr>
          <w:rFonts w:ascii="Times New Roman" w:hAnsi="Times New Roman" w:cs="Times New Roman"/>
          <w:sz w:val="24"/>
          <w:szCs w:val="24"/>
        </w:rPr>
        <w:t>Carolina Voigt</w:t>
      </w:r>
      <w:r w:rsidR="00AF6DF0" w:rsidRPr="0089399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AF6DF0" w:rsidRPr="00893997">
        <w:rPr>
          <w:rFonts w:ascii="Times New Roman" w:hAnsi="Times New Roman" w:cs="Times New Roman"/>
          <w:sz w:val="24"/>
          <w:szCs w:val="24"/>
        </w:rPr>
        <w:t xml:space="preserve">, </w:t>
      </w:r>
      <w:r w:rsidRPr="00893997">
        <w:rPr>
          <w:rFonts w:ascii="Times New Roman" w:hAnsi="Times New Roman" w:cs="Times New Roman"/>
          <w:sz w:val="24"/>
          <w:szCs w:val="24"/>
        </w:rPr>
        <w:t>Pertti J Martikainen</w:t>
      </w:r>
      <w:r w:rsidRPr="0089399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893997">
        <w:rPr>
          <w:rFonts w:ascii="Times New Roman" w:hAnsi="Times New Roman" w:cs="Times New Roman"/>
          <w:sz w:val="24"/>
          <w:szCs w:val="24"/>
        </w:rPr>
        <w:t>, Jyrki Hytönen</w:t>
      </w:r>
      <w:r w:rsidRPr="0089399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93997">
        <w:rPr>
          <w:rFonts w:ascii="Times New Roman" w:hAnsi="Times New Roman" w:cs="Times New Roman"/>
          <w:sz w:val="24"/>
          <w:szCs w:val="24"/>
        </w:rPr>
        <w:t>, Kristiina Regina</w:t>
      </w:r>
      <w:r w:rsidRPr="0089399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893997">
        <w:rPr>
          <w:rFonts w:ascii="Times New Roman" w:hAnsi="Times New Roman" w:cs="Times New Roman"/>
          <w:sz w:val="24"/>
          <w:szCs w:val="24"/>
        </w:rPr>
        <w:t>, Hlynur Óskarsson</w:t>
      </w:r>
      <w:r w:rsidRPr="00893997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893997">
        <w:rPr>
          <w:rFonts w:ascii="Times New Roman" w:hAnsi="Times New Roman" w:cs="Times New Roman"/>
          <w:sz w:val="24"/>
          <w:szCs w:val="24"/>
        </w:rPr>
        <w:t>, Marja Maljanen</w:t>
      </w:r>
      <w:r w:rsidRPr="00893997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14:paraId="3FCA2EAF" w14:textId="77777777" w:rsidR="008C677B" w:rsidRPr="008C677B" w:rsidRDefault="008C677B" w:rsidP="008C677B">
      <w:pPr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8C677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a </w:t>
      </w:r>
      <w:r w:rsidRPr="008C677B">
        <w:rPr>
          <w:rFonts w:ascii="Times New Roman" w:hAnsi="Times New Roman" w:cs="Times New Roman"/>
          <w:sz w:val="20"/>
          <w:szCs w:val="20"/>
          <w:lang w:val="en-US"/>
        </w:rPr>
        <w:t>University of Eastern Finland, Department of Environmental and Biological Sciences, P.O. Box 1627, FI-70211 Kuopio, Finland</w:t>
      </w:r>
    </w:p>
    <w:p w14:paraId="4A6DC6B7" w14:textId="77777777" w:rsidR="008C677B" w:rsidRPr="008C677B" w:rsidRDefault="008C677B" w:rsidP="008C677B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8C677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b </w:t>
      </w:r>
      <w:r w:rsidRPr="008C677B">
        <w:rPr>
          <w:rFonts w:ascii="Times New Roman" w:hAnsi="Times New Roman" w:cs="Times New Roman"/>
          <w:sz w:val="20"/>
          <w:szCs w:val="20"/>
          <w:lang w:val="en-US"/>
        </w:rPr>
        <w:t xml:space="preserve">Natural Resources Institute Finland (Luke), Natural Resources, </w:t>
      </w:r>
      <w:proofErr w:type="spellStart"/>
      <w:r w:rsidRPr="008C677B">
        <w:rPr>
          <w:rFonts w:ascii="Times New Roman" w:hAnsi="Times New Roman" w:cs="Times New Roman"/>
          <w:sz w:val="20"/>
          <w:szCs w:val="20"/>
          <w:lang w:val="en-US"/>
        </w:rPr>
        <w:t>Teknologiakatu</w:t>
      </w:r>
      <w:proofErr w:type="spellEnd"/>
      <w:r w:rsidRPr="008C677B">
        <w:rPr>
          <w:rFonts w:ascii="Times New Roman" w:hAnsi="Times New Roman" w:cs="Times New Roman"/>
          <w:sz w:val="20"/>
          <w:szCs w:val="20"/>
          <w:lang w:val="en-US"/>
        </w:rPr>
        <w:t xml:space="preserve"> 7, FI-67100 Kokkola, Finland</w:t>
      </w:r>
    </w:p>
    <w:p w14:paraId="706D3DD5" w14:textId="77777777" w:rsidR="008C677B" w:rsidRPr="008C677B" w:rsidRDefault="008C677B" w:rsidP="008C677B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8C677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c </w:t>
      </w:r>
      <w:r w:rsidRPr="008C677B">
        <w:rPr>
          <w:rFonts w:ascii="Times New Roman" w:hAnsi="Times New Roman" w:cs="Times New Roman"/>
          <w:sz w:val="20"/>
          <w:szCs w:val="20"/>
          <w:lang w:val="en-US"/>
        </w:rPr>
        <w:t xml:space="preserve">Natural Resources Institute Finland (Luke), Bioeconomy and Environment, </w:t>
      </w:r>
      <w:proofErr w:type="spellStart"/>
      <w:r w:rsidRPr="008C677B">
        <w:rPr>
          <w:rFonts w:ascii="Times New Roman" w:hAnsi="Times New Roman" w:cs="Times New Roman"/>
          <w:sz w:val="20"/>
          <w:szCs w:val="20"/>
          <w:lang w:val="en-US"/>
        </w:rPr>
        <w:t>Tietotie</w:t>
      </w:r>
      <w:proofErr w:type="spellEnd"/>
      <w:r w:rsidRPr="008C677B">
        <w:rPr>
          <w:rFonts w:ascii="Times New Roman" w:hAnsi="Times New Roman" w:cs="Times New Roman"/>
          <w:sz w:val="20"/>
          <w:szCs w:val="20"/>
          <w:lang w:val="en-US"/>
        </w:rPr>
        <w:t xml:space="preserve"> 4, FI-31600 </w:t>
      </w:r>
      <w:proofErr w:type="spellStart"/>
      <w:r w:rsidRPr="008C677B">
        <w:rPr>
          <w:rFonts w:ascii="Times New Roman" w:hAnsi="Times New Roman" w:cs="Times New Roman"/>
          <w:sz w:val="20"/>
          <w:szCs w:val="20"/>
          <w:lang w:val="en-US"/>
        </w:rPr>
        <w:t>Jokioinen</w:t>
      </w:r>
      <w:proofErr w:type="spellEnd"/>
      <w:r w:rsidRPr="008C677B">
        <w:rPr>
          <w:rFonts w:ascii="Times New Roman" w:hAnsi="Times New Roman" w:cs="Times New Roman"/>
          <w:sz w:val="20"/>
          <w:szCs w:val="20"/>
          <w:lang w:val="en-US"/>
        </w:rPr>
        <w:t>, Finland</w:t>
      </w:r>
    </w:p>
    <w:p w14:paraId="29EA0F0A" w14:textId="77777777" w:rsidR="008C677B" w:rsidRPr="008C677B" w:rsidRDefault="008C677B" w:rsidP="008C677B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8C677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d </w:t>
      </w:r>
      <w:r w:rsidRPr="008C677B">
        <w:rPr>
          <w:rFonts w:ascii="Times New Roman" w:hAnsi="Times New Roman" w:cs="Times New Roman"/>
          <w:sz w:val="20"/>
          <w:szCs w:val="20"/>
          <w:lang w:val="en-US"/>
        </w:rPr>
        <w:t xml:space="preserve">Agricultural University of Iceland, Faculty of Agricultural and Environmental Sciences, 311 </w:t>
      </w:r>
      <w:proofErr w:type="spellStart"/>
      <w:r w:rsidRPr="008C677B">
        <w:rPr>
          <w:rFonts w:ascii="Times New Roman" w:hAnsi="Times New Roman" w:cs="Times New Roman"/>
          <w:sz w:val="20"/>
          <w:szCs w:val="20"/>
          <w:lang w:val="en-US"/>
        </w:rPr>
        <w:t>Hvanneyri</w:t>
      </w:r>
      <w:proofErr w:type="spellEnd"/>
      <w:r w:rsidRPr="008C677B">
        <w:rPr>
          <w:rFonts w:ascii="Times New Roman" w:hAnsi="Times New Roman" w:cs="Times New Roman"/>
          <w:sz w:val="20"/>
          <w:szCs w:val="20"/>
          <w:lang w:val="en-US"/>
        </w:rPr>
        <w:t>, Iceland</w:t>
      </w:r>
    </w:p>
    <w:p w14:paraId="079490AB" w14:textId="134FB373" w:rsidR="00070FC1" w:rsidRPr="008C677B" w:rsidRDefault="008C677B" w:rsidP="008C677B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C677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8C677B">
        <w:rPr>
          <w:rFonts w:ascii="Times New Roman" w:hAnsi="Times New Roman" w:cs="Times New Roman"/>
          <w:sz w:val="20"/>
          <w:szCs w:val="20"/>
          <w:lang w:val="en-US"/>
        </w:rPr>
        <w:t>corresponding author (maarit.liimatainen@uef.fi)</w:t>
      </w:r>
    </w:p>
    <w:p w14:paraId="08DAAFB5" w14:textId="125FE570" w:rsidR="00D439D0" w:rsidRDefault="00D439D0" w:rsidP="00D439D0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3F1C55E" w14:textId="77777777" w:rsidR="00D439D0" w:rsidRDefault="00D439D0" w:rsidP="00D439D0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460CD9A" w14:textId="3E61E625" w:rsidR="00DB342C" w:rsidRPr="004B29C2" w:rsidRDefault="006E231A" w:rsidP="00D43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study included </w:t>
      </w:r>
      <w:r w:rsidR="008C677B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drained peatlands with different land-use types and management intensities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such as 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forested (2 sites), </w:t>
      </w:r>
      <w:r w:rsidR="004504E7" w:rsidRPr="004B29C2">
        <w:rPr>
          <w:rFonts w:ascii="Times New Roman" w:hAnsi="Times New Roman" w:cs="Times New Roman"/>
          <w:sz w:val="24"/>
          <w:szCs w:val="24"/>
          <w:lang w:val="en-US"/>
        </w:rPr>
        <w:t>cultivated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 (3 sites) or only drained</w:t>
      </w:r>
      <w:r w:rsidR="004504E7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(1 site) </w:t>
      </w:r>
      <w:r w:rsidR="004504E7" w:rsidRPr="004B29C2">
        <w:rPr>
          <w:rFonts w:ascii="Times New Roman" w:hAnsi="Times New Roman" w:cs="Times New Roman"/>
          <w:sz w:val="24"/>
          <w:szCs w:val="24"/>
          <w:lang w:val="en-US"/>
        </w:rPr>
        <w:t>peatlands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504E7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afforested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 (3 sites)</w:t>
      </w:r>
      <w:r w:rsidR="004504E7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or abandoned 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agricultural (2 sites) </w:t>
      </w:r>
      <w:r w:rsidR="004504E7" w:rsidRPr="004B29C2">
        <w:rPr>
          <w:rFonts w:ascii="Times New Roman" w:hAnsi="Times New Roman" w:cs="Times New Roman"/>
          <w:sz w:val="24"/>
          <w:szCs w:val="24"/>
          <w:lang w:val="en-US"/>
        </w:rPr>
        <w:t>peatlands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. The sites with their drainage history, peat depth and dominant tree and </w:t>
      </w:r>
      <w:r w:rsidR="005F1687" w:rsidRPr="005126B3">
        <w:rPr>
          <w:rFonts w:ascii="Times New Roman" w:hAnsi="Times New Roman" w:cs="Times New Roman"/>
          <w:sz w:val="24"/>
          <w:szCs w:val="24"/>
          <w:lang w:val="en-US"/>
        </w:rPr>
        <w:t>understory</w:t>
      </w:r>
      <w:r w:rsidR="004504E7" w:rsidRPr="00512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A96" w:rsidRPr="005126B3">
        <w:rPr>
          <w:rFonts w:ascii="Times New Roman" w:hAnsi="Times New Roman" w:cs="Times New Roman"/>
          <w:sz w:val="24"/>
          <w:szCs w:val="24"/>
          <w:lang w:val="en-US"/>
        </w:rPr>
        <w:t xml:space="preserve">plant 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species are shown in </w:t>
      </w:r>
      <w:r w:rsidR="004504E7" w:rsidRPr="004504E7"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1020">
        <w:rPr>
          <w:rFonts w:ascii="Times New Roman" w:hAnsi="Times New Roman" w:cs="Times New Roman"/>
          <w:sz w:val="24"/>
          <w:szCs w:val="24"/>
          <w:lang w:val="en-US"/>
        </w:rPr>
        <w:t>The site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DB342C" w:rsidRPr="00FA1E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4E7" w:rsidRPr="004B29C2">
        <w:rPr>
          <w:rFonts w:ascii="Times New Roman" w:hAnsi="Times New Roman" w:cs="Times New Roman"/>
          <w:sz w:val="24"/>
          <w:szCs w:val="24"/>
          <w:lang w:val="en-US"/>
        </w:rPr>
        <w:t>(Maljanen et al.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04E7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2010)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is currently used </w:t>
      </w:r>
      <w:r w:rsidR="00BA0EA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hay production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 whereas the </w:t>
      </w:r>
      <w:r w:rsidR="002313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>ite C</w:t>
      </w:r>
      <w:r w:rsidR="00DB342C" w:rsidRPr="00FA1E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(Regina et al.</w:t>
      </w:r>
      <w:r w:rsidR="00DB342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2004)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is nowadays </w:t>
      </w:r>
      <w:r w:rsidR="00A01841" w:rsidRPr="005126B3">
        <w:rPr>
          <w:rFonts w:ascii="Times New Roman" w:hAnsi="Times New Roman" w:cs="Times New Roman"/>
          <w:sz w:val="24"/>
          <w:szCs w:val="24"/>
          <w:lang w:val="en-US"/>
        </w:rPr>
        <w:t xml:space="preserve">used for 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cereal-grass rotation. 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DB342C">
        <w:rPr>
          <w:rFonts w:ascii="Times New Roman" w:hAnsi="Times New Roman" w:cs="Times New Roman"/>
          <w:sz w:val="24"/>
          <w:szCs w:val="24"/>
          <w:lang w:val="en-US"/>
        </w:rPr>
        <w:t xml:space="preserve">ite 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B342C" w:rsidRPr="00FA1E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504E7">
        <w:rPr>
          <w:rFonts w:ascii="Times New Roman" w:hAnsi="Times New Roman" w:cs="Times New Roman"/>
          <w:sz w:val="24"/>
          <w:szCs w:val="24"/>
          <w:lang w:val="en-US"/>
        </w:rPr>
        <w:t>Björk</w:t>
      </w:r>
      <w:proofErr w:type="spellEnd"/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 et al., 2010, </w:t>
      </w:r>
      <w:proofErr w:type="spellStart"/>
      <w:r w:rsidR="004504E7">
        <w:rPr>
          <w:rFonts w:ascii="Times New Roman" w:hAnsi="Times New Roman" w:cs="Times New Roman"/>
          <w:sz w:val="24"/>
          <w:szCs w:val="24"/>
          <w:lang w:val="en-US"/>
        </w:rPr>
        <w:t>Klemedtsson</w:t>
      </w:r>
      <w:proofErr w:type="spellEnd"/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 et al., 2010) 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is a mesotrophic </w:t>
      </w:r>
      <w:r w:rsidR="00DB342C">
        <w:rPr>
          <w:rFonts w:ascii="Times New Roman" w:hAnsi="Times New Roman" w:cs="Times New Roman"/>
          <w:sz w:val="24"/>
          <w:szCs w:val="24"/>
          <w:lang w:val="en-US"/>
        </w:rPr>
        <w:t>peatland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in Sweden </w:t>
      </w:r>
      <w:r w:rsidR="00BA0EA0">
        <w:rPr>
          <w:rFonts w:ascii="Times New Roman" w:hAnsi="Times New Roman" w:cs="Times New Roman"/>
          <w:sz w:val="24"/>
          <w:szCs w:val="24"/>
          <w:lang w:val="en-US"/>
        </w:rPr>
        <w:t xml:space="preserve">that was under agricultural use 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>until 1950, after which it was forested. The A</w:t>
      </w:r>
      <w:r w:rsidR="00DB342C" w:rsidRPr="00FA1E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site is described in more detail in </w:t>
      </w:r>
      <w:proofErr w:type="spellStart"/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>Ernfors</w:t>
      </w:r>
      <w:proofErr w:type="spellEnd"/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et al. (2011). The age of the tree stand in </w:t>
      </w:r>
      <w:r w:rsidR="00DB342C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B3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B342C" w:rsidRPr="00FA1E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>and A</w:t>
      </w:r>
      <w:r w:rsidR="004504E7" w:rsidRPr="004504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DB3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DB342C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years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 and &gt;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>25 years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>, respectively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>. Both</w:t>
      </w:r>
      <w:r w:rsidR="00BA0E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B342C" w:rsidRPr="00FA1E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L 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>and A</w:t>
      </w:r>
      <w:r w:rsidR="00DB342C" w:rsidRPr="00FA1E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342C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="00BA0E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B3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>were used for cultivation for many decades before they were afforested (Maljanen et al.</w:t>
      </w:r>
      <w:r w:rsidR="00DB342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2012). The B</w:t>
      </w:r>
      <w:r w:rsidR="00DB342C" w:rsidRPr="00FA1E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and B</w:t>
      </w:r>
      <w:r w:rsidR="00DB342C" w:rsidRPr="00FA1E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sites were 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>used for cultivation for decades before they were abandoned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4E7" w:rsidRPr="004B29C2">
        <w:rPr>
          <w:rFonts w:ascii="Times New Roman" w:hAnsi="Times New Roman" w:cs="Times New Roman"/>
          <w:sz w:val="24"/>
          <w:szCs w:val="24"/>
          <w:lang w:val="en-US"/>
        </w:rPr>
        <w:t>(Maljanen et al.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04E7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2012)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The Icelandic site </w:t>
      </w:r>
      <w:r w:rsidR="004504E7" w:rsidRPr="004B29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504E7" w:rsidRPr="00BE584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BA0EA0">
        <w:rPr>
          <w:rFonts w:ascii="Times New Roman" w:hAnsi="Times New Roman" w:cs="Times New Roman"/>
          <w:sz w:val="24"/>
          <w:szCs w:val="24"/>
          <w:lang w:val="en-US"/>
        </w:rPr>
        <w:t xml:space="preserve">subjected 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>to hay cultivation ~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10 years after drainage </w:t>
      </w:r>
      <w:r w:rsidR="004504E7">
        <w:rPr>
          <w:rFonts w:ascii="Times New Roman" w:hAnsi="Times New Roman" w:cs="Times New Roman"/>
          <w:sz w:val="24"/>
          <w:szCs w:val="24"/>
          <w:lang w:val="en-US"/>
        </w:rPr>
        <w:t>whereas the other Icelandic site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DB342C" w:rsidRPr="00FA1E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 w:rsidR="00BA0EA0">
        <w:rPr>
          <w:rFonts w:ascii="Times New Roman" w:hAnsi="Times New Roman" w:cs="Times New Roman"/>
          <w:sz w:val="24"/>
          <w:szCs w:val="24"/>
          <w:lang w:val="en-US"/>
        </w:rPr>
        <w:t>remained</w:t>
      </w:r>
      <w:r w:rsidR="00BA0EA0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>mostly unused</w:t>
      </w:r>
      <w:r w:rsidR="00BA0E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EA0">
        <w:rPr>
          <w:rFonts w:ascii="Times New Roman" w:hAnsi="Times New Roman" w:cs="Times New Roman"/>
          <w:sz w:val="24"/>
          <w:szCs w:val="24"/>
          <w:lang w:val="en-US"/>
        </w:rPr>
        <w:t>with occasional use</w:t>
      </w:r>
      <w:r w:rsidR="00BA0EA0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342C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as a rangeland for horses or dairy cows. </w:t>
      </w:r>
    </w:p>
    <w:p w14:paraId="1F041ABD" w14:textId="79E9F7B2" w:rsidR="00DB342C" w:rsidRDefault="00DB342C" w:rsidP="00D439D0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D05E47" w14:textId="4BB96739" w:rsidR="00D439D0" w:rsidRDefault="00D439D0" w:rsidP="00D439D0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B9C043" w14:textId="70896957" w:rsidR="00D439D0" w:rsidRDefault="00D439D0" w:rsidP="00D439D0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9B1328" w14:textId="3AB2F077" w:rsidR="00D439D0" w:rsidRDefault="00D439D0" w:rsidP="00D439D0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BFCD4F" w14:textId="77777777" w:rsidR="008C677B" w:rsidRDefault="008C677B" w:rsidP="00D439D0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0B791D" w14:textId="66597B9E" w:rsidR="004504E7" w:rsidRPr="004504E7" w:rsidRDefault="004504E7" w:rsidP="008C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S1. </w:t>
      </w:r>
      <w:r w:rsidR="00D439D0" w:rsidRPr="00D439D0">
        <w:rPr>
          <w:rFonts w:ascii="Times New Roman" w:hAnsi="Times New Roman" w:cs="Times New Roman"/>
          <w:sz w:val="24"/>
          <w:szCs w:val="24"/>
          <w:lang w:val="en-US"/>
        </w:rPr>
        <w:t>The study sites and their</w:t>
      </w:r>
      <w:r w:rsidR="00D439D0">
        <w:rPr>
          <w:rFonts w:ascii="Times New Roman" w:hAnsi="Times New Roman" w:cs="Times New Roman"/>
          <w:sz w:val="24"/>
          <w:szCs w:val="24"/>
          <w:lang w:val="en-US"/>
        </w:rPr>
        <w:t xml:space="preserve"> drainage history, peat depth (cm) and dominant tree and </w:t>
      </w:r>
      <w:r w:rsidR="005F1687" w:rsidRPr="005126B3">
        <w:rPr>
          <w:rFonts w:ascii="Times New Roman" w:hAnsi="Times New Roman" w:cs="Times New Roman"/>
          <w:sz w:val="24"/>
          <w:szCs w:val="24"/>
          <w:lang w:val="en-US"/>
        </w:rPr>
        <w:t>understory</w:t>
      </w:r>
      <w:r w:rsidR="00D439D0" w:rsidRPr="00512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4A2" w:rsidRPr="005126B3">
        <w:rPr>
          <w:rFonts w:ascii="Times New Roman" w:hAnsi="Times New Roman" w:cs="Times New Roman"/>
          <w:sz w:val="24"/>
          <w:szCs w:val="24"/>
          <w:lang w:val="en-US"/>
        </w:rPr>
        <w:t xml:space="preserve">plant </w:t>
      </w:r>
      <w:r w:rsidR="00D439D0">
        <w:rPr>
          <w:rFonts w:ascii="Times New Roman" w:hAnsi="Times New Roman" w:cs="Times New Roman"/>
          <w:sz w:val="24"/>
          <w:szCs w:val="24"/>
          <w:lang w:val="en-US"/>
        </w:rPr>
        <w:t>species.</w:t>
      </w:r>
    </w:p>
    <w:p w14:paraId="75B30B12" w14:textId="3B4B2DFA" w:rsidR="004504E7" w:rsidRPr="00DB342C" w:rsidRDefault="00D87ED0" w:rsidP="00956594">
      <w:p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7ED0">
        <w:rPr>
          <w:noProof/>
        </w:rPr>
        <w:drawing>
          <wp:inline distT="0" distB="0" distL="0" distR="0" wp14:anchorId="436FB5D3" wp14:editId="1DE8D7F5">
            <wp:extent cx="6120130" cy="738761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8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DCBEA" w14:textId="77777777" w:rsidR="00D439D0" w:rsidRDefault="00D439D0" w:rsidP="0077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AF8E17" w14:textId="77777777" w:rsidR="00D439D0" w:rsidRDefault="00D439D0" w:rsidP="0077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A64451" w14:textId="77777777" w:rsidR="00D439D0" w:rsidRDefault="00D439D0" w:rsidP="0077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BDE1C6" w14:textId="38DE4864" w:rsidR="0023136A" w:rsidRDefault="0023136A" w:rsidP="0077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7E9E20" w14:textId="0DF1A119" w:rsidR="00956594" w:rsidRPr="004B29C2" w:rsidRDefault="00074452" w:rsidP="0077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S2</w:t>
      </w:r>
      <w:r w:rsidR="00956594" w:rsidRPr="004B29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56594" w:rsidRPr="004B29C2">
        <w:rPr>
          <w:rFonts w:ascii="Times New Roman" w:hAnsi="Times New Roman" w:cs="Times New Roman"/>
          <w:sz w:val="24"/>
          <w:szCs w:val="24"/>
          <w:lang w:val="en-US"/>
        </w:rPr>
        <w:t>Total amount of nutrients (mg kg</w:t>
      </w:r>
      <w:r w:rsidR="00956594" w:rsidRPr="004B29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956594" w:rsidRPr="004B29C2">
        <w:rPr>
          <w:rFonts w:ascii="Times New Roman" w:hAnsi="Times New Roman" w:cs="Times New Roman"/>
          <w:sz w:val="24"/>
          <w:szCs w:val="24"/>
          <w:lang w:val="en-US"/>
        </w:rPr>
        <w:t>) in soil layers of 0-10 cm and 10-20 cm. Soil samples were extracted with HNO</w:t>
      </w:r>
      <w:r w:rsidR="00956594" w:rsidRPr="004B29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56594" w:rsidRPr="004B29C2">
        <w:rPr>
          <w:rFonts w:ascii="Times New Roman" w:hAnsi="Times New Roman" w:cs="Times New Roman"/>
          <w:sz w:val="24"/>
          <w:szCs w:val="24"/>
          <w:lang w:val="en-US"/>
        </w:rPr>
        <w:t>/H</w:t>
      </w:r>
      <w:r w:rsidR="00956594" w:rsidRPr="004B29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56594" w:rsidRPr="004B29C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56594" w:rsidRPr="004B29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56594"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combined with microwave digestion. Extracts were analyzed with inductively coupled plasma atomic emission spectroscopy (ICP-AES).</w:t>
      </w:r>
    </w:p>
    <w:p w14:paraId="39851FB2" w14:textId="0173A6CE" w:rsidR="00956594" w:rsidRDefault="009638F9" w:rsidP="00070FC1">
      <w:p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38F9">
        <w:rPr>
          <w:noProof/>
        </w:rPr>
        <w:drawing>
          <wp:inline distT="0" distB="0" distL="0" distR="0" wp14:anchorId="5C8F9B94" wp14:editId="082E3595">
            <wp:extent cx="6120130" cy="30306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3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DC2FC" w14:textId="77777777" w:rsidR="00BC0B19" w:rsidRDefault="00BC0B19" w:rsidP="00BC0B1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CE16C9" w14:textId="5D984E45" w:rsidR="005B79C3" w:rsidRPr="004B29C2" w:rsidRDefault="009001E1" w:rsidP="00BC0B1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01E1">
        <w:rPr>
          <w:noProof/>
        </w:rPr>
        <w:lastRenderedPageBreak/>
        <w:drawing>
          <wp:inline distT="0" distB="0" distL="0" distR="0" wp14:anchorId="4DCEE474" wp14:editId="5A5BC7C7">
            <wp:extent cx="8964172" cy="6031879"/>
            <wp:effectExtent l="0" t="953" r="7938" b="7937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75920" cy="603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D03AB" w14:textId="0F17593A" w:rsidR="00C75EAF" w:rsidRDefault="009001E1" w:rsidP="00C75EAF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r w:rsidRPr="009001E1">
        <w:rPr>
          <w:noProof/>
        </w:rPr>
        <w:lastRenderedPageBreak/>
        <w:drawing>
          <wp:inline distT="0" distB="0" distL="0" distR="0" wp14:anchorId="6E91CFB3" wp14:editId="356818CD">
            <wp:extent cx="8910687" cy="6030640"/>
            <wp:effectExtent l="0" t="7938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20113" cy="60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2B17A" w14:textId="7C5F017C" w:rsidR="00956594" w:rsidRPr="007741BB" w:rsidRDefault="00074452" w:rsidP="00D439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41B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S5</w:t>
      </w:r>
      <w:r w:rsidR="00956594" w:rsidRPr="007741B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56594" w:rsidRPr="00774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6CB9">
        <w:rPr>
          <w:rFonts w:ascii="Times New Roman" w:hAnsi="Times New Roman" w:cs="Times New Roman"/>
          <w:sz w:val="24"/>
          <w:szCs w:val="24"/>
          <w:lang w:val="en-US"/>
        </w:rPr>
        <w:t xml:space="preserve">Factor loadings in the </w:t>
      </w:r>
      <w:r w:rsidR="00736CB9" w:rsidRPr="005126B3">
        <w:rPr>
          <w:rFonts w:ascii="Times New Roman" w:hAnsi="Times New Roman" w:cs="Times New Roman"/>
          <w:sz w:val="24"/>
          <w:szCs w:val="24"/>
          <w:lang w:val="en-US"/>
        </w:rPr>
        <w:t>principal</w:t>
      </w:r>
      <w:r w:rsidR="00956594" w:rsidRPr="007741BB">
        <w:rPr>
          <w:rFonts w:ascii="Times New Roman" w:hAnsi="Times New Roman" w:cs="Times New Roman"/>
          <w:sz w:val="24"/>
          <w:szCs w:val="24"/>
          <w:lang w:val="en-US"/>
        </w:rPr>
        <w:t xml:space="preserve"> component analyses (PCA, </w:t>
      </w:r>
      <w:r w:rsidR="00956594" w:rsidRPr="007741BB">
        <w:rPr>
          <w:rFonts w:ascii="Times New Roman" w:hAnsi="Times New Roman" w:cs="Times New Roman"/>
          <w:b/>
          <w:sz w:val="24"/>
          <w:szCs w:val="24"/>
          <w:lang w:val="en-US"/>
        </w:rPr>
        <w:t>Fig. 6.</w:t>
      </w:r>
      <w:r w:rsidR="00956594" w:rsidRPr="007741BB">
        <w:rPr>
          <w:rFonts w:ascii="Times New Roman" w:hAnsi="Times New Roman" w:cs="Times New Roman"/>
          <w:sz w:val="24"/>
          <w:szCs w:val="24"/>
          <w:lang w:val="en-US"/>
        </w:rPr>
        <w:t xml:space="preserve">) for variables measured in 0-10 cm soil depth (left table) and in the 10-20 cm depth (right table). Variables are sorted based on their values in the component 1 (from the highest to the lowest loadings) and </w:t>
      </w:r>
      <w:r w:rsidR="00956594" w:rsidRPr="005126B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E6469" w:rsidRPr="005126B3">
        <w:rPr>
          <w:rFonts w:ascii="Times New Roman" w:hAnsi="Times New Roman" w:cs="Times New Roman"/>
          <w:sz w:val="24"/>
          <w:szCs w:val="24"/>
          <w:lang w:val="en-US"/>
        </w:rPr>
        <w:t xml:space="preserve">three first </w:t>
      </w:r>
      <w:r w:rsidR="00956594" w:rsidRPr="005126B3">
        <w:rPr>
          <w:rFonts w:ascii="Times New Roman" w:hAnsi="Times New Roman" w:cs="Times New Roman"/>
          <w:sz w:val="24"/>
          <w:szCs w:val="24"/>
          <w:lang w:val="en-US"/>
        </w:rPr>
        <w:t xml:space="preserve">loadings </w:t>
      </w:r>
      <w:r w:rsidR="00956594" w:rsidRPr="007741BB">
        <w:rPr>
          <w:rFonts w:ascii="Times New Roman" w:hAnsi="Times New Roman" w:cs="Times New Roman"/>
          <w:sz w:val="24"/>
          <w:szCs w:val="24"/>
          <w:lang w:val="en-US"/>
        </w:rPr>
        <w:t>(negative or positive) over 0.2 are bolded.</w:t>
      </w:r>
    </w:p>
    <w:p w14:paraId="2FAF86EA" w14:textId="6BB8DCDF" w:rsidR="00956594" w:rsidRPr="004B29C2" w:rsidRDefault="001745DC" w:rsidP="0095659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45DC">
        <w:rPr>
          <w:noProof/>
        </w:rPr>
        <w:drawing>
          <wp:inline distT="0" distB="0" distL="0" distR="0" wp14:anchorId="4221F6BF" wp14:editId="47DD496B">
            <wp:extent cx="6120130" cy="585995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5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78091" w14:textId="77777777" w:rsidR="00956594" w:rsidRPr="004B29C2" w:rsidRDefault="00956594" w:rsidP="009565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6C3869" w14:textId="77777777" w:rsidR="00BC0B19" w:rsidRDefault="00BC0B19" w:rsidP="00BC0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BCBFD3" w14:textId="77777777" w:rsidR="00BC0B19" w:rsidRDefault="00BC0B19" w:rsidP="00BC0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17FDE3" w14:textId="77777777" w:rsidR="00BC0B19" w:rsidRDefault="00BC0B19" w:rsidP="00BC0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73A73C" w14:textId="39031722" w:rsidR="00010027" w:rsidRDefault="00010027" w:rsidP="00BC0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9B5475" w14:textId="00C3E275" w:rsidR="007741BB" w:rsidRDefault="007741BB" w:rsidP="00BC0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D362B7" w14:textId="77777777" w:rsidR="007741BB" w:rsidRDefault="007741BB" w:rsidP="00BC0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F4E442" w14:textId="12D87636" w:rsidR="00BC0B19" w:rsidRDefault="00BC0B19" w:rsidP="00D43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</w:t>
      </w:r>
      <w:r w:rsidR="00074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S6</w:t>
      </w:r>
      <w:r w:rsidRPr="003A25D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57B40">
        <w:rPr>
          <w:rFonts w:ascii="Times New Roman" w:hAnsi="Times New Roman" w:cs="Times New Roman"/>
          <w:sz w:val="24"/>
          <w:szCs w:val="24"/>
          <w:lang w:val="en-US"/>
        </w:rPr>
        <w:t xml:space="preserve"> Mean (±</w:t>
      </w:r>
      <w:r>
        <w:rPr>
          <w:rFonts w:ascii="Times New Roman" w:hAnsi="Times New Roman" w:cs="Times New Roman"/>
          <w:sz w:val="24"/>
          <w:szCs w:val="24"/>
          <w:lang w:val="en-US"/>
        </w:rPr>
        <w:t>SD, n=5) soil pH</w:t>
      </w:r>
      <w:r w:rsidRPr="003A25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H2O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electrical conductivity (EC) and </w:t>
      </w:r>
      <w:r w:rsidR="009001E1">
        <w:rPr>
          <w:rFonts w:ascii="Times New Roman" w:hAnsi="Times New Roman" w:cs="Times New Roman"/>
          <w:sz w:val="24"/>
          <w:szCs w:val="24"/>
          <w:lang w:val="en-US"/>
        </w:rPr>
        <w:t xml:space="preserve">concentrations of </w:t>
      </w:r>
      <w:r>
        <w:rPr>
          <w:rFonts w:ascii="Times New Roman" w:hAnsi="Times New Roman" w:cs="Times New Roman"/>
          <w:sz w:val="24"/>
          <w:szCs w:val="24"/>
          <w:lang w:val="en-US"/>
        </w:rPr>
        <w:t>nitrate (NO</w:t>
      </w:r>
      <w:r w:rsidRPr="003A25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A25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) and ammonium (NH</w:t>
      </w:r>
      <w:r w:rsidRPr="003A25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A25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) at the time of sampling (initial values) and after two weeks of soil incubation at +15°C (</w:t>
      </w:r>
      <w:r w:rsidR="000C1A7D">
        <w:rPr>
          <w:rFonts w:ascii="Times New Roman" w:hAnsi="Times New Roman" w:cs="Times New Roman"/>
          <w:sz w:val="24"/>
          <w:szCs w:val="24"/>
          <w:lang w:val="en-US"/>
        </w:rPr>
        <w:t>final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values</w:t>
      </w:r>
      <w:r w:rsidRPr="005126B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001E1" w:rsidRPr="005126B3">
        <w:rPr>
          <w:rFonts w:ascii="Times New Roman" w:hAnsi="Times New Roman" w:cs="Times New Roman"/>
          <w:sz w:val="24"/>
          <w:szCs w:val="24"/>
          <w:lang w:val="en-US"/>
        </w:rPr>
        <w:t xml:space="preserve"> for 0-10 cm and 10-20 cm soil layers</w:t>
      </w:r>
      <w:r w:rsidRPr="005126B3">
        <w:rPr>
          <w:rFonts w:ascii="Times New Roman" w:hAnsi="Times New Roman" w:cs="Times New Roman"/>
          <w:sz w:val="24"/>
          <w:szCs w:val="24"/>
          <w:lang w:val="en-US"/>
        </w:rPr>
        <w:t>. For pH only initial values are shown.</w:t>
      </w:r>
      <w:r w:rsidR="00010027" w:rsidRPr="005126B3">
        <w:rPr>
          <w:rFonts w:ascii="Times New Roman" w:hAnsi="Times New Roman" w:cs="Times New Roman"/>
          <w:sz w:val="24"/>
          <w:szCs w:val="24"/>
          <w:lang w:val="en-US"/>
        </w:rPr>
        <w:t xml:space="preserve"> In site codes the first letter refers to land-use type: F = forest, C = cultivated, A = afforested field, D = drained, B = abandoned field. The </w:t>
      </w:r>
      <w:r w:rsidR="009001E1" w:rsidRPr="005126B3">
        <w:rPr>
          <w:rFonts w:ascii="Times New Roman" w:hAnsi="Times New Roman" w:cs="Times New Roman"/>
          <w:sz w:val="24"/>
          <w:szCs w:val="24"/>
          <w:lang w:val="en-US"/>
        </w:rPr>
        <w:t>subscript</w:t>
      </w:r>
      <w:r w:rsidR="00010027" w:rsidRPr="005126B3">
        <w:rPr>
          <w:rFonts w:ascii="Times New Roman" w:hAnsi="Times New Roman" w:cs="Times New Roman"/>
          <w:sz w:val="24"/>
          <w:szCs w:val="24"/>
          <w:lang w:val="en-US"/>
        </w:rPr>
        <w:t xml:space="preserve"> defines </w:t>
      </w:r>
      <w:r w:rsidR="00010027">
        <w:rPr>
          <w:rFonts w:ascii="Times New Roman" w:hAnsi="Times New Roman" w:cs="Times New Roman"/>
          <w:sz w:val="24"/>
          <w:szCs w:val="24"/>
          <w:lang w:val="en-US"/>
        </w:rPr>
        <w:t>the site.</w:t>
      </w:r>
    </w:p>
    <w:p w14:paraId="37E59CC2" w14:textId="3EFB4192" w:rsidR="00BC0B19" w:rsidRDefault="009001E1" w:rsidP="00D43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1E1">
        <w:rPr>
          <w:noProof/>
        </w:rPr>
        <w:drawing>
          <wp:inline distT="0" distB="0" distL="0" distR="0" wp14:anchorId="6898BBA7" wp14:editId="13CE2866">
            <wp:extent cx="6120130" cy="2320747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2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B7DCA" w14:textId="23948C21" w:rsidR="00956594" w:rsidRPr="004B29C2" w:rsidRDefault="00956594" w:rsidP="00956594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</w:p>
    <w:p w14:paraId="79D59AE0" w14:textId="77777777" w:rsidR="00956594" w:rsidRPr="004B29C2" w:rsidRDefault="00956594" w:rsidP="00956594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</w:p>
    <w:p w14:paraId="12A3842E" w14:textId="77777777" w:rsidR="00956594" w:rsidRPr="004B29C2" w:rsidRDefault="00956594" w:rsidP="00956594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</w:p>
    <w:p w14:paraId="2612957B" w14:textId="29784F3F" w:rsidR="00956594" w:rsidRPr="00D439D0" w:rsidRDefault="00074452" w:rsidP="00174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39D0">
        <w:rPr>
          <w:rFonts w:ascii="Times New Roman" w:hAnsi="Times New Roman" w:cs="Times New Roman"/>
          <w:b/>
          <w:sz w:val="24"/>
          <w:szCs w:val="24"/>
          <w:lang w:val="en-US"/>
        </w:rPr>
        <w:t>Table S7</w:t>
      </w:r>
      <w:r w:rsidR="00956594" w:rsidRPr="00D439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56594" w:rsidRPr="00D439D0">
        <w:rPr>
          <w:rFonts w:ascii="Times New Roman" w:hAnsi="Times New Roman" w:cs="Times New Roman"/>
          <w:sz w:val="24"/>
          <w:szCs w:val="24"/>
          <w:lang w:val="en-US"/>
        </w:rPr>
        <w:t xml:space="preserve">Eigenvalues in the principle component analysis (PCA, </w:t>
      </w:r>
      <w:r w:rsidR="00956594" w:rsidRPr="00D439D0">
        <w:rPr>
          <w:rFonts w:ascii="Times New Roman" w:hAnsi="Times New Roman" w:cs="Times New Roman"/>
          <w:b/>
          <w:sz w:val="24"/>
          <w:szCs w:val="24"/>
          <w:lang w:val="en-US"/>
        </w:rPr>
        <w:t>Fig. 6</w:t>
      </w:r>
      <w:r w:rsidR="00956594" w:rsidRPr="00D439D0">
        <w:rPr>
          <w:rFonts w:ascii="Times New Roman" w:hAnsi="Times New Roman" w:cs="Times New Roman"/>
          <w:sz w:val="24"/>
          <w:szCs w:val="24"/>
          <w:lang w:val="en-US"/>
        </w:rPr>
        <w:t>) for variables measured in 0-10 cm soil depth (left table) and in 10-20 cm depth</w:t>
      </w:r>
      <w:r w:rsidR="009A2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2E92" w:rsidRPr="005126B3">
        <w:rPr>
          <w:rFonts w:ascii="Times New Roman" w:hAnsi="Times New Roman" w:cs="Times New Roman"/>
          <w:sz w:val="24"/>
          <w:szCs w:val="24"/>
          <w:lang w:val="en-US"/>
        </w:rPr>
        <w:t>(right table)</w:t>
      </w:r>
      <w:r w:rsidR="00956594" w:rsidRPr="005126B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6594" w:rsidRPr="00D439D0">
        <w:rPr>
          <w:rFonts w:ascii="Times New Roman" w:hAnsi="Times New Roman" w:cs="Times New Roman"/>
          <w:sz w:val="24"/>
          <w:szCs w:val="24"/>
          <w:lang w:val="en-US"/>
        </w:rPr>
        <w:t xml:space="preserve"> The first six components were included in the PCA.</w:t>
      </w:r>
    </w:p>
    <w:p w14:paraId="31FD4F13" w14:textId="4E5CB635" w:rsidR="00C84F4F" w:rsidRDefault="009A2E92" w:rsidP="00BC0B1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2E92">
        <w:rPr>
          <w:noProof/>
        </w:rPr>
        <w:drawing>
          <wp:inline distT="0" distB="0" distL="0" distR="0" wp14:anchorId="3C7CD438" wp14:editId="728D4DEA">
            <wp:extent cx="6120130" cy="2124191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2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0703A" w14:textId="2EF1F27D" w:rsidR="00074452" w:rsidRDefault="00074452" w:rsidP="00BC0B1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F07596" w14:textId="2C093A94" w:rsidR="00074452" w:rsidRDefault="00074452" w:rsidP="00BC0B1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18FFC0" w14:textId="48AC548E" w:rsidR="00074452" w:rsidRDefault="00074452" w:rsidP="00BC0B1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C2A6EC" w14:textId="00884CD8" w:rsidR="00074452" w:rsidRDefault="00074452" w:rsidP="00D439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445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 for supplementary information</w:t>
      </w:r>
    </w:p>
    <w:p w14:paraId="0BFE12D5" w14:textId="77777777" w:rsidR="00106AAB" w:rsidRPr="00B870E3" w:rsidRDefault="00106AAB" w:rsidP="00D439D0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09495472" w14:textId="7C6E6671" w:rsidR="00106AAB" w:rsidRPr="00B870E3" w:rsidRDefault="00106AAB" w:rsidP="00D439D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70E3">
        <w:rPr>
          <w:rFonts w:ascii="Times New Roman" w:hAnsi="Times New Roman" w:cs="Times New Roman"/>
          <w:sz w:val="24"/>
          <w:szCs w:val="24"/>
          <w:lang w:val="en-US"/>
        </w:rPr>
        <w:t>Björk</w:t>
      </w:r>
      <w:proofErr w:type="spellEnd"/>
      <w:r w:rsidRPr="00B870E3">
        <w:rPr>
          <w:rFonts w:ascii="Times New Roman" w:hAnsi="Times New Roman" w:cs="Times New Roman"/>
          <w:sz w:val="24"/>
          <w:szCs w:val="24"/>
          <w:lang w:val="en-US"/>
        </w:rPr>
        <w:t xml:space="preserve">, R.G., </w:t>
      </w:r>
      <w:proofErr w:type="spellStart"/>
      <w:r w:rsidRPr="00B870E3">
        <w:rPr>
          <w:rFonts w:ascii="Times New Roman" w:hAnsi="Times New Roman" w:cs="Times New Roman"/>
          <w:sz w:val="24"/>
          <w:szCs w:val="24"/>
          <w:lang w:val="en-US"/>
        </w:rPr>
        <w:t>Ernfors</w:t>
      </w:r>
      <w:proofErr w:type="spellEnd"/>
      <w:r w:rsidRPr="00B870E3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B870E3">
        <w:rPr>
          <w:rFonts w:ascii="Times New Roman" w:hAnsi="Times New Roman" w:cs="Times New Roman"/>
          <w:sz w:val="24"/>
          <w:szCs w:val="24"/>
          <w:lang w:val="en-US"/>
        </w:rPr>
        <w:t>Sikström</w:t>
      </w:r>
      <w:proofErr w:type="spellEnd"/>
      <w:r w:rsidRPr="00B870E3">
        <w:rPr>
          <w:rFonts w:ascii="Times New Roman" w:hAnsi="Times New Roman" w:cs="Times New Roman"/>
          <w:sz w:val="24"/>
          <w:szCs w:val="24"/>
          <w:lang w:val="en-US"/>
        </w:rPr>
        <w:t xml:space="preserve">, U., Nilsson, M.B., Andersson, M.X., </w:t>
      </w:r>
      <w:proofErr w:type="spellStart"/>
      <w:r w:rsidRPr="00B870E3">
        <w:rPr>
          <w:rFonts w:ascii="Times New Roman" w:hAnsi="Times New Roman" w:cs="Times New Roman"/>
          <w:sz w:val="24"/>
          <w:szCs w:val="24"/>
          <w:lang w:val="en-US"/>
        </w:rPr>
        <w:t>Rütting</w:t>
      </w:r>
      <w:proofErr w:type="spellEnd"/>
      <w:r w:rsidRPr="00B870E3">
        <w:rPr>
          <w:rFonts w:ascii="Times New Roman" w:hAnsi="Times New Roman" w:cs="Times New Roman"/>
          <w:sz w:val="24"/>
          <w:szCs w:val="24"/>
          <w:lang w:val="en-US"/>
        </w:rPr>
        <w:t xml:space="preserve">, T., </w:t>
      </w:r>
      <w:proofErr w:type="spellStart"/>
      <w:r w:rsidRPr="00B870E3">
        <w:rPr>
          <w:rFonts w:ascii="Times New Roman" w:hAnsi="Times New Roman" w:cs="Times New Roman"/>
          <w:sz w:val="24"/>
          <w:szCs w:val="24"/>
          <w:lang w:val="en-US"/>
        </w:rPr>
        <w:t>Klemedtsson</w:t>
      </w:r>
      <w:proofErr w:type="spellEnd"/>
      <w:r w:rsidRPr="00B870E3">
        <w:rPr>
          <w:rFonts w:ascii="Times New Roman" w:hAnsi="Times New Roman" w:cs="Times New Roman"/>
          <w:sz w:val="24"/>
          <w:szCs w:val="24"/>
          <w:lang w:val="en-US"/>
        </w:rPr>
        <w:t xml:space="preserve">, L., 2010. </w:t>
      </w:r>
      <w:r w:rsidRPr="00106AAB">
        <w:rPr>
          <w:rFonts w:ascii="Times New Roman" w:hAnsi="Times New Roman" w:cs="Times New Roman"/>
          <w:sz w:val="24"/>
          <w:szCs w:val="24"/>
          <w:lang w:val="en-US"/>
        </w:rPr>
        <w:t xml:space="preserve">Contrasting effects of wood ash application on microbial community structure, biomass and processes in drained forested peatlands. </w:t>
      </w:r>
      <w:r w:rsidRPr="00B870E3">
        <w:rPr>
          <w:rFonts w:ascii="Times New Roman" w:hAnsi="Times New Roman" w:cs="Times New Roman"/>
          <w:sz w:val="24"/>
          <w:szCs w:val="24"/>
          <w:lang w:val="en-US"/>
        </w:rPr>
        <w:t>FEMS Microbiology Ecology 73, 550-562.</w:t>
      </w:r>
    </w:p>
    <w:p w14:paraId="325CF7DC" w14:textId="03315308" w:rsidR="007741BB" w:rsidRPr="00640CE6" w:rsidRDefault="007741BB" w:rsidP="00D439D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41BB">
        <w:rPr>
          <w:rFonts w:ascii="Times New Roman" w:hAnsi="Times New Roman" w:cs="Times New Roman"/>
          <w:sz w:val="24"/>
          <w:szCs w:val="24"/>
          <w:lang w:val="en-US"/>
        </w:rPr>
        <w:t>Ernfors</w:t>
      </w:r>
      <w:proofErr w:type="spellEnd"/>
      <w:r w:rsidRPr="007741BB">
        <w:rPr>
          <w:rFonts w:ascii="Times New Roman" w:hAnsi="Times New Roman" w:cs="Times New Roman"/>
          <w:sz w:val="24"/>
          <w:szCs w:val="24"/>
          <w:lang w:val="en-US"/>
        </w:rPr>
        <w:t xml:space="preserve">, M., Rütting, T., </w:t>
      </w:r>
      <w:proofErr w:type="spellStart"/>
      <w:r w:rsidRPr="007741BB">
        <w:rPr>
          <w:rFonts w:ascii="Times New Roman" w:hAnsi="Times New Roman" w:cs="Times New Roman"/>
          <w:sz w:val="24"/>
          <w:szCs w:val="24"/>
          <w:lang w:val="en-US"/>
        </w:rPr>
        <w:t>Klemedtsson</w:t>
      </w:r>
      <w:proofErr w:type="spellEnd"/>
      <w:r w:rsidRPr="007741BB">
        <w:rPr>
          <w:rFonts w:ascii="Times New Roman" w:hAnsi="Times New Roman" w:cs="Times New Roman"/>
          <w:sz w:val="24"/>
          <w:szCs w:val="24"/>
          <w:lang w:val="en-US"/>
        </w:rPr>
        <w:t xml:space="preserve">, L., 2011. Increased nitrous oxide emissions from a drained organic forest soil after exclusion of ectomycorrhizal mycelia. </w:t>
      </w:r>
      <w:r w:rsidRPr="00640CE6">
        <w:rPr>
          <w:rFonts w:ascii="Times New Roman" w:hAnsi="Times New Roman" w:cs="Times New Roman"/>
          <w:sz w:val="24"/>
          <w:szCs w:val="24"/>
          <w:lang w:val="en-US"/>
        </w:rPr>
        <w:t>Plant and Soil 343, 161-170.</w:t>
      </w:r>
    </w:p>
    <w:p w14:paraId="18B78CD3" w14:textId="0359F896" w:rsidR="00106AAB" w:rsidRDefault="00106AAB" w:rsidP="00D439D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AAB">
        <w:rPr>
          <w:rFonts w:ascii="Times New Roman" w:hAnsi="Times New Roman" w:cs="Times New Roman"/>
          <w:sz w:val="24"/>
          <w:szCs w:val="24"/>
          <w:lang w:val="en-US"/>
        </w:rPr>
        <w:t>Jansen, E., 2008. The effects of land use, t</w:t>
      </w:r>
      <w:r w:rsidR="00F01E16">
        <w:rPr>
          <w:rFonts w:ascii="Times New Roman" w:hAnsi="Times New Roman" w:cs="Times New Roman"/>
          <w:sz w:val="24"/>
          <w:szCs w:val="24"/>
          <w:lang w:val="en-US"/>
        </w:rPr>
        <w:t>emperature and water level fluc</w:t>
      </w:r>
      <w:r w:rsidRPr="00106AAB">
        <w:rPr>
          <w:rFonts w:ascii="Times New Roman" w:hAnsi="Times New Roman" w:cs="Times New Roman"/>
          <w:sz w:val="24"/>
          <w:szCs w:val="24"/>
          <w:lang w:val="en-US"/>
        </w:rPr>
        <w:t>tuations on the emission of nitrous oxide (N</w:t>
      </w:r>
      <w:r w:rsidRPr="00106A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06AAB">
        <w:rPr>
          <w:rFonts w:ascii="Times New Roman" w:hAnsi="Times New Roman" w:cs="Times New Roman"/>
          <w:sz w:val="24"/>
          <w:szCs w:val="24"/>
          <w:lang w:val="en-US"/>
        </w:rPr>
        <w:t>O), carbon dioxide (CO</w:t>
      </w:r>
      <w:r w:rsidRPr="00106A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06AAB">
        <w:rPr>
          <w:rFonts w:ascii="Times New Roman" w:hAnsi="Times New Roman" w:cs="Times New Roman"/>
          <w:sz w:val="24"/>
          <w:szCs w:val="24"/>
          <w:lang w:val="en-US"/>
        </w:rPr>
        <w:t>) and methane (CH</w:t>
      </w:r>
      <w:r w:rsidRPr="00106A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06AAB">
        <w:rPr>
          <w:rFonts w:ascii="Times New Roman" w:hAnsi="Times New Roman" w:cs="Times New Roman"/>
          <w:sz w:val="24"/>
          <w:szCs w:val="24"/>
          <w:lang w:val="en-US"/>
        </w:rPr>
        <w:t>) from organic soil cores in Iceland</w:t>
      </w:r>
      <w:r>
        <w:rPr>
          <w:rFonts w:ascii="Times New Roman" w:hAnsi="Times New Roman" w:cs="Times New Roman"/>
          <w:sz w:val="24"/>
          <w:szCs w:val="24"/>
          <w:lang w:val="en-US"/>
        </w:rPr>
        <w:t>. M. Sc. thesis in Environment and Resources. University of Iceland. 73 pp.</w:t>
      </w:r>
    </w:p>
    <w:p w14:paraId="2DA2528F" w14:textId="5184F170" w:rsidR="003028B0" w:rsidRPr="00106AAB" w:rsidRDefault="003028B0" w:rsidP="00D439D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28B0">
        <w:rPr>
          <w:rFonts w:ascii="Times New Roman" w:hAnsi="Times New Roman" w:cs="Times New Roman"/>
          <w:sz w:val="24"/>
          <w:szCs w:val="24"/>
          <w:lang w:val="en-US"/>
        </w:rPr>
        <w:t>Klemedtsson</w:t>
      </w:r>
      <w:proofErr w:type="spellEnd"/>
      <w:r w:rsidRPr="003028B0">
        <w:rPr>
          <w:rFonts w:ascii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3028B0">
        <w:rPr>
          <w:rFonts w:ascii="Times New Roman" w:hAnsi="Times New Roman" w:cs="Times New Roman"/>
          <w:sz w:val="24"/>
          <w:szCs w:val="24"/>
          <w:lang w:val="en-US"/>
        </w:rPr>
        <w:t>Ernfors</w:t>
      </w:r>
      <w:proofErr w:type="spellEnd"/>
      <w:r w:rsidRPr="003028B0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3028B0">
        <w:rPr>
          <w:rFonts w:ascii="Times New Roman" w:hAnsi="Times New Roman" w:cs="Times New Roman"/>
          <w:sz w:val="24"/>
          <w:szCs w:val="24"/>
          <w:lang w:val="en-US"/>
        </w:rPr>
        <w:t>Björk</w:t>
      </w:r>
      <w:proofErr w:type="spellEnd"/>
      <w:r w:rsidRPr="003028B0">
        <w:rPr>
          <w:rFonts w:ascii="Times New Roman" w:hAnsi="Times New Roman" w:cs="Times New Roman"/>
          <w:sz w:val="24"/>
          <w:szCs w:val="24"/>
          <w:lang w:val="en-US"/>
        </w:rPr>
        <w:t xml:space="preserve"> R.G., </w:t>
      </w:r>
      <w:proofErr w:type="spellStart"/>
      <w:r w:rsidRPr="003028B0">
        <w:rPr>
          <w:rFonts w:ascii="Times New Roman" w:hAnsi="Times New Roman" w:cs="Times New Roman"/>
          <w:sz w:val="24"/>
          <w:szCs w:val="24"/>
          <w:lang w:val="en-US"/>
        </w:rPr>
        <w:t>Weslien</w:t>
      </w:r>
      <w:proofErr w:type="spellEnd"/>
      <w:r w:rsidRPr="003028B0">
        <w:rPr>
          <w:rFonts w:ascii="Times New Roman" w:hAnsi="Times New Roman" w:cs="Times New Roman"/>
          <w:sz w:val="24"/>
          <w:szCs w:val="24"/>
          <w:lang w:val="en-US"/>
        </w:rPr>
        <w:t xml:space="preserve">, P., Rütting, T., </w:t>
      </w:r>
      <w:proofErr w:type="spellStart"/>
      <w:r w:rsidRPr="003028B0">
        <w:rPr>
          <w:rFonts w:ascii="Times New Roman" w:hAnsi="Times New Roman" w:cs="Times New Roman"/>
          <w:sz w:val="24"/>
          <w:szCs w:val="24"/>
          <w:lang w:val="en-US"/>
        </w:rPr>
        <w:t>Crill</w:t>
      </w:r>
      <w:proofErr w:type="spellEnd"/>
      <w:r w:rsidRPr="003028B0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3028B0">
        <w:rPr>
          <w:rFonts w:ascii="Times New Roman" w:hAnsi="Times New Roman" w:cs="Times New Roman"/>
          <w:sz w:val="24"/>
          <w:szCs w:val="24"/>
          <w:lang w:val="en-US"/>
        </w:rPr>
        <w:t>Sikström</w:t>
      </w:r>
      <w:proofErr w:type="spellEnd"/>
      <w:r w:rsidRPr="003028B0">
        <w:rPr>
          <w:rFonts w:ascii="Times New Roman" w:hAnsi="Times New Roman" w:cs="Times New Roman"/>
          <w:sz w:val="24"/>
          <w:szCs w:val="24"/>
          <w:lang w:val="en-US"/>
        </w:rPr>
        <w:t xml:space="preserve">, U., 2010. Reduction of greenhouse gas emissions by wood ash application to a </w:t>
      </w:r>
      <w:proofErr w:type="spellStart"/>
      <w:r w:rsidRPr="003028B0">
        <w:rPr>
          <w:rFonts w:ascii="Times New Roman" w:hAnsi="Times New Roman" w:cs="Times New Roman"/>
          <w:sz w:val="24"/>
          <w:szCs w:val="24"/>
          <w:lang w:val="en-US"/>
        </w:rPr>
        <w:t>Picea</w:t>
      </w:r>
      <w:proofErr w:type="spellEnd"/>
      <w:r w:rsidRPr="00302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28B0">
        <w:rPr>
          <w:rFonts w:ascii="Times New Roman" w:hAnsi="Times New Roman" w:cs="Times New Roman"/>
          <w:sz w:val="24"/>
          <w:szCs w:val="24"/>
          <w:lang w:val="en-US"/>
        </w:rPr>
        <w:t>abies</w:t>
      </w:r>
      <w:proofErr w:type="spellEnd"/>
      <w:r w:rsidRPr="003028B0">
        <w:rPr>
          <w:rFonts w:ascii="Times New Roman" w:hAnsi="Times New Roman" w:cs="Times New Roman"/>
          <w:sz w:val="24"/>
          <w:szCs w:val="24"/>
          <w:lang w:val="en-US"/>
        </w:rPr>
        <w:t xml:space="preserve"> (L.) Karst. forest on a drained organic soil. European Journal of Soil Science 61, 734-744.</w:t>
      </w:r>
    </w:p>
    <w:p w14:paraId="48A5F272" w14:textId="20004C55" w:rsidR="00E86780" w:rsidRDefault="00E86780" w:rsidP="00D439D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6780">
        <w:rPr>
          <w:rFonts w:ascii="Times New Roman" w:hAnsi="Times New Roman" w:cs="Times New Roman"/>
          <w:sz w:val="24"/>
          <w:szCs w:val="24"/>
        </w:rPr>
        <w:t xml:space="preserve">Maljanen, M., Virkajärvi, P., Hytönen, J., Öquist, Ö., Sparrman, T., Martikainen, P.J., 2009. </w:t>
      </w:r>
      <w:r w:rsidRPr="00E86780">
        <w:rPr>
          <w:rFonts w:ascii="Times New Roman" w:hAnsi="Times New Roman" w:cs="Times New Roman"/>
          <w:sz w:val="24"/>
          <w:szCs w:val="24"/>
          <w:lang w:val="en-US"/>
        </w:rPr>
        <w:t xml:space="preserve">Nitrous oxide production in boreal soils with variable organic matter at low temperature – snow manipulation experiment. </w:t>
      </w:r>
      <w:r>
        <w:rPr>
          <w:rFonts w:ascii="Times New Roman" w:hAnsi="Times New Roman" w:cs="Times New Roman"/>
          <w:sz w:val="24"/>
          <w:szCs w:val="24"/>
        </w:rPr>
        <w:t>Biogeosciences 6,</w:t>
      </w:r>
      <w:r w:rsidRPr="00E86780">
        <w:rPr>
          <w:rFonts w:ascii="Times New Roman" w:hAnsi="Times New Roman" w:cs="Times New Roman"/>
          <w:sz w:val="24"/>
          <w:szCs w:val="24"/>
        </w:rPr>
        <w:t xml:space="preserve"> 2461-2473.</w:t>
      </w:r>
    </w:p>
    <w:p w14:paraId="5D7B615A" w14:textId="00A1ECF0" w:rsidR="00106AAB" w:rsidRDefault="00106AAB" w:rsidP="00D439D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6AAB">
        <w:rPr>
          <w:rFonts w:ascii="Times New Roman" w:hAnsi="Times New Roman" w:cs="Times New Roman"/>
          <w:sz w:val="24"/>
          <w:szCs w:val="24"/>
        </w:rPr>
        <w:t xml:space="preserve">Maljanen, M., Shurpali, N., Hytönen, J., Mäkiranta, P., Aro, L., Potila, H., Laine, J., Li, C., Martikainen, P.J., 2012. </w:t>
      </w:r>
      <w:r w:rsidRPr="00106AAB">
        <w:rPr>
          <w:rFonts w:ascii="Times New Roman" w:hAnsi="Times New Roman" w:cs="Times New Roman"/>
          <w:sz w:val="24"/>
          <w:szCs w:val="24"/>
          <w:lang w:val="en-US"/>
        </w:rPr>
        <w:t xml:space="preserve">Afforestation does not necessarily reduce nitrous oxide emissions from managed boreal peat soils. </w:t>
      </w:r>
      <w:r w:rsidRPr="00106AAB">
        <w:rPr>
          <w:rFonts w:ascii="Times New Roman" w:hAnsi="Times New Roman" w:cs="Times New Roman"/>
          <w:sz w:val="24"/>
          <w:szCs w:val="24"/>
        </w:rPr>
        <w:t xml:space="preserve">Biogeochemistry </w:t>
      </w:r>
      <w:r w:rsidR="00E86780">
        <w:rPr>
          <w:rFonts w:ascii="Times New Roman" w:hAnsi="Times New Roman" w:cs="Times New Roman"/>
          <w:sz w:val="24"/>
          <w:szCs w:val="24"/>
        </w:rPr>
        <w:t>108,</w:t>
      </w:r>
      <w:r w:rsidRPr="00106AAB">
        <w:rPr>
          <w:rFonts w:ascii="Times New Roman" w:hAnsi="Times New Roman" w:cs="Times New Roman"/>
          <w:sz w:val="24"/>
          <w:szCs w:val="24"/>
        </w:rPr>
        <w:t xml:space="preserve"> 199-218.</w:t>
      </w:r>
    </w:p>
    <w:p w14:paraId="5F0B5162" w14:textId="251A8D39" w:rsidR="007741BB" w:rsidRPr="007741BB" w:rsidRDefault="007741BB" w:rsidP="00D439D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1BB">
        <w:rPr>
          <w:rFonts w:ascii="Times New Roman" w:hAnsi="Times New Roman" w:cs="Times New Roman"/>
          <w:sz w:val="24"/>
          <w:szCs w:val="24"/>
        </w:rPr>
        <w:t xml:space="preserve">Maljanen, M., Liimatainen, M., Hytönen, J., Martikainen, P.J., 2014. </w:t>
      </w:r>
      <w:r w:rsidRPr="007741BB">
        <w:rPr>
          <w:rFonts w:ascii="Times New Roman" w:hAnsi="Times New Roman" w:cs="Times New Roman"/>
          <w:sz w:val="24"/>
          <w:szCs w:val="24"/>
          <w:lang w:val="en-US"/>
        </w:rPr>
        <w:t>The effect of granulated wood-ash fertilization on soil properties and greenhouse gas (GHG) emissions in boreal peatland forests. Boreal Environment Research 19, 295-309.</w:t>
      </w:r>
    </w:p>
    <w:p w14:paraId="39B8DDD2" w14:textId="49B7AB93" w:rsidR="00074452" w:rsidRPr="00D439D0" w:rsidRDefault="00106AAB" w:rsidP="00D439D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1BB">
        <w:rPr>
          <w:rFonts w:ascii="Times New Roman" w:hAnsi="Times New Roman" w:cs="Times New Roman"/>
          <w:sz w:val="24"/>
          <w:szCs w:val="24"/>
          <w:lang w:val="en-US"/>
        </w:rPr>
        <w:t xml:space="preserve">Regina, K., </w:t>
      </w:r>
      <w:proofErr w:type="spellStart"/>
      <w:r w:rsidRPr="007741BB">
        <w:rPr>
          <w:rFonts w:ascii="Times New Roman" w:hAnsi="Times New Roman" w:cs="Times New Roman"/>
          <w:sz w:val="24"/>
          <w:szCs w:val="24"/>
          <w:lang w:val="en-US"/>
        </w:rPr>
        <w:t>Syväsalo</w:t>
      </w:r>
      <w:proofErr w:type="spellEnd"/>
      <w:r w:rsidRPr="007741BB">
        <w:rPr>
          <w:rFonts w:ascii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7741BB">
        <w:rPr>
          <w:rFonts w:ascii="Times New Roman" w:hAnsi="Times New Roman" w:cs="Times New Roman"/>
          <w:sz w:val="24"/>
          <w:szCs w:val="24"/>
          <w:lang w:val="en-US"/>
        </w:rPr>
        <w:t>Hannukkala</w:t>
      </w:r>
      <w:proofErr w:type="spellEnd"/>
      <w:r w:rsidRPr="007741BB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7741BB">
        <w:rPr>
          <w:rFonts w:ascii="Times New Roman" w:hAnsi="Times New Roman" w:cs="Times New Roman"/>
          <w:sz w:val="24"/>
          <w:szCs w:val="24"/>
          <w:lang w:val="en-US"/>
        </w:rPr>
        <w:t>Esala</w:t>
      </w:r>
      <w:proofErr w:type="spellEnd"/>
      <w:r w:rsidRPr="007741BB">
        <w:rPr>
          <w:rFonts w:ascii="Times New Roman" w:hAnsi="Times New Roman" w:cs="Times New Roman"/>
          <w:sz w:val="24"/>
          <w:szCs w:val="24"/>
          <w:lang w:val="en-US"/>
        </w:rPr>
        <w:t xml:space="preserve">, M., 2004. </w:t>
      </w:r>
      <w:r w:rsidRPr="004B29C2">
        <w:rPr>
          <w:rFonts w:ascii="Times New Roman" w:hAnsi="Times New Roman" w:cs="Times New Roman"/>
          <w:sz w:val="24"/>
          <w:szCs w:val="24"/>
          <w:lang w:val="en-US"/>
        </w:rPr>
        <w:t>Fluxes of N</w:t>
      </w:r>
      <w:r w:rsidRPr="004B29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B29C2">
        <w:rPr>
          <w:rFonts w:ascii="Times New Roman" w:hAnsi="Times New Roman" w:cs="Times New Roman"/>
          <w:sz w:val="24"/>
          <w:szCs w:val="24"/>
          <w:lang w:val="en-US"/>
        </w:rPr>
        <w:t>O from farmed peat soils in Finland. Eur</w:t>
      </w:r>
      <w:r>
        <w:rPr>
          <w:rFonts w:ascii="Times New Roman" w:hAnsi="Times New Roman" w:cs="Times New Roman"/>
          <w:sz w:val="24"/>
          <w:szCs w:val="24"/>
          <w:lang w:val="en-US"/>
        </w:rPr>
        <w:t>opean</w:t>
      </w:r>
      <w:r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ournal of</w:t>
      </w:r>
      <w:r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Soil Sci</w:t>
      </w:r>
      <w:r>
        <w:rPr>
          <w:rFonts w:ascii="Times New Roman" w:hAnsi="Times New Roman" w:cs="Times New Roman"/>
          <w:sz w:val="24"/>
          <w:szCs w:val="24"/>
          <w:lang w:val="en-US"/>
        </w:rPr>
        <w:t>ence 55,</w:t>
      </w:r>
      <w:r w:rsidRPr="004B29C2">
        <w:rPr>
          <w:rFonts w:ascii="Times New Roman" w:hAnsi="Times New Roman" w:cs="Times New Roman"/>
          <w:sz w:val="24"/>
          <w:szCs w:val="24"/>
          <w:lang w:val="en-US"/>
        </w:rPr>
        <w:t xml:space="preserve"> 591-599.</w:t>
      </w:r>
    </w:p>
    <w:sectPr w:rsidR="00074452" w:rsidRPr="00D439D0" w:rsidSect="00956594"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8D9CA" w14:textId="77777777" w:rsidR="00565A02" w:rsidRDefault="00565A02">
      <w:pPr>
        <w:spacing w:after="0" w:line="240" w:lineRule="auto"/>
      </w:pPr>
      <w:r>
        <w:separator/>
      </w:r>
    </w:p>
  </w:endnote>
  <w:endnote w:type="continuationSeparator" w:id="0">
    <w:p w14:paraId="78D1C779" w14:textId="77777777" w:rsidR="00565A02" w:rsidRDefault="0056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325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A334A" w14:textId="14D70CF3" w:rsidR="008A57A0" w:rsidRDefault="008A5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5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B6E31A" w14:textId="77777777" w:rsidR="00C07D75" w:rsidRDefault="00565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27303" w14:textId="77777777" w:rsidR="00565A02" w:rsidRDefault="00565A02">
      <w:pPr>
        <w:spacing w:after="0" w:line="240" w:lineRule="auto"/>
      </w:pPr>
      <w:r>
        <w:separator/>
      </w:r>
    </w:p>
  </w:footnote>
  <w:footnote w:type="continuationSeparator" w:id="0">
    <w:p w14:paraId="0E25DC69" w14:textId="77777777" w:rsidR="00565A02" w:rsidRDefault="00565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94"/>
    <w:rsid w:val="00010027"/>
    <w:rsid w:val="00051E56"/>
    <w:rsid w:val="00051EC6"/>
    <w:rsid w:val="00070FC1"/>
    <w:rsid w:val="00074452"/>
    <w:rsid w:val="000C1A7D"/>
    <w:rsid w:val="000E1D32"/>
    <w:rsid w:val="00106AAB"/>
    <w:rsid w:val="00112B20"/>
    <w:rsid w:val="00124D1E"/>
    <w:rsid w:val="00161E20"/>
    <w:rsid w:val="001745DC"/>
    <w:rsid w:val="001A10EF"/>
    <w:rsid w:val="001B1A28"/>
    <w:rsid w:val="001B5437"/>
    <w:rsid w:val="001E7741"/>
    <w:rsid w:val="0023136A"/>
    <w:rsid w:val="00260965"/>
    <w:rsid w:val="002650A1"/>
    <w:rsid w:val="00271313"/>
    <w:rsid w:val="002D4C15"/>
    <w:rsid w:val="003028B0"/>
    <w:rsid w:val="003176E2"/>
    <w:rsid w:val="00334D35"/>
    <w:rsid w:val="00391CA6"/>
    <w:rsid w:val="003E2C8B"/>
    <w:rsid w:val="003E42E2"/>
    <w:rsid w:val="00414ADB"/>
    <w:rsid w:val="0042101A"/>
    <w:rsid w:val="00427960"/>
    <w:rsid w:val="00434903"/>
    <w:rsid w:val="004504E7"/>
    <w:rsid w:val="00454FBB"/>
    <w:rsid w:val="004C2F20"/>
    <w:rsid w:val="00510A77"/>
    <w:rsid w:val="005126B3"/>
    <w:rsid w:val="00515132"/>
    <w:rsid w:val="00520A96"/>
    <w:rsid w:val="00554A00"/>
    <w:rsid w:val="00565A02"/>
    <w:rsid w:val="00576EC1"/>
    <w:rsid w:val="005B68A5"/>
    <w:rsid w:val="005B79C3"/>
    <w:rsid w:val="005C39F5"/>
    <w:rsid w:val="005D630C"/>
    <w:rsid w:val="005E50F9"/>
    <w:rsid w:val="005F1687"/>
    <w:rsid w:val="00605A4C"/>
    <w:rsid w:val="006071A1"/>
    <w:rsid w:val="00611EA3"/>
    <w:rsid w:val="00640CE6"/>
    <w:rsid w:val="00657B40"/>
    <w:rsid w:val="00686C3B"/>
    <w:rsid w:val="006B3F24"/>
    <w:rsid w:val="006D19A3"/>
    <w:rsid w:val="006E231A"/>
    <w:rsid w:val="00736CB9"/>
    <w:rsid w:val="007741BB"/>
    <w:rsid w:val="00780471"/>
    <w:rsid w:val="007842E8"/>
    <w:rsid w:val="00790516"/>
    <w:rsid w:val="007915FD"/>
    <w:rsid w:val="007A0C90"/>
    <w:rsid w:val="0080468C"/>
    <w:rsid w:val="00876EB2"/>
    <w:rsid w:val="008872F9"/>
    <w:rsid w:val="00893997"/>
    <w:rsid w:val="008A57A0"/>
    <w:rsid w:val="008C62B6"/>
    <w:rsid w:val="008C642E"/>
    <w:rsid w:val="008C677B"/>
    <w:rsid w:val="008F0DDC"/>
    <w:rsid w:val="009001E1"/>
    <w:rsid w:val="009267B9"/>
    <w:rsid w:val="00956594"/>
    <w:rsid w:val="009638F9"/>
    <w:rsid w:val="00985FB2"/>
    <w:rsid w:val="009A2E92"/>
    <w:rsid w:val="009C0D8C"/>
    <w:rsid w:val="009E4F88"/>
    <w:rsid w:val="00A01841"/>
    <w:rsid w:val="00A37DA5"/>
    <w:rsid w:val="00A96456"/>
    <w:rsid w:val="00A970E7"/>
    <w:rsid w:val="00AE1020"/>
    <w:rsid w:val="00AF6DF0"/>
    <w:rsid w:val="00B430DA"/>
    <w:rsid w:val="00B82B4C"/>
    <w:rsid w:val="00B870E3"/>
    <w:rsid w:val="00BA0EA0"/>
    <w:rsid w:val="00BC0B19"/>
    <w:rsid w:val="00BD5199"/>
    <w:rsid w:val="00BF4A2D"/>
    <w:rsid w:val="00C12757"/>
    <w:rsid w:val="00C25429"/>
    <w:rsid w:val="00C56380"/>
    <w:rsid w:val="00C75EAF"/>
    <w:rsid w:val="00C82D4C"/>
    <w:rsid w:val="00CA6AC9"/>
    <w:rsid w:val="00CD04A2"/>
    <w:rsid w:val="00CF1F4D"/>
    <w:rsid w:val="00D439D0"/>
    <w:rsid w:val="00D44A84"/>
    <w:rsid w:val="00D860F5"/>
    <w:rsid w:val="00D87ED0"/>
    <w:rsid w:val="00DA1BBB"/>
    <w:rsid w:val="00DB342C"/>
    <w:rsid w:val="00DF1F68"/>
    <w:rsid w:val="00DF388C"/>
    <w:rsid w:val="00DF65D2"/>
    <w:rsid w:val="00E058FD"/>
    <w:rsid w:val="00E16F0B"/>
    <w:rsid w:val="00E86780"/>
    <w:rsid w:val="00EB066F"/>
    <w:rsid w:val="00F01E16"/>
    <w:rsid w:val="00F20C3A"/>
    <w:rsid w:val="00F408BE"/>
    <w:rsid w:val="00F64B07"/>
    <w:rsid w:val="00F956C2"/>
    <w:rsid w:val="00FA5094"/>
    <w:rsid w:val="00FC45D0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454C"/>
  <w15:chartTrackingRefBased/>
  <w15:docId w15:val="{DB317ACE-7465-4631-94F1-CD9B931D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6594"/>
    <w:pPr>
      <w:spacing w:after="200" w:line="276" w:lineRule="auto"/>
    </w:pPr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6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94"/>
    <w:rPr>
      <w:rFonts w:eastAsiaTheme="minorEastAsia"/>
      <w:lang w:eastAsia="fi-FI"/>
    </w:rPr>
  </w:style>
  <w:style w:type="character" w:styleId="LineNumber">
    <w:name w:val="line number"/>
    <w:basedOn w:val="DefaultParagraphFont"/>
    <w:uiPriority w:val="99"/>
    <w:semiHidden/>
    <w:unhideWhenUsed/>
    <w:rsid w:val="00956594"/>
  </w:style>
  <w:style w:type="character" w:styleId="Hyperlink">
    <w:name w:val="Hyperlink"/>
    <w:basedOn w:val="DefaultParagraphFont"/>
    <w:uiPriority w:val="99"/>
    <w:unhideWhenUsed/>
    <w:rsid w:val="00070FC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A84"/>
    <w:rPr>
      <w:rFonts w:eastAsiaTheme="minorEastAsia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A84"/>
    <w:rPr>
      <w:rFonts w:eastAsiaTheme="minorEastAsia"/>
      <w:b/>
      <w:bCs/>
      <w:sz w:val="20"/>
      <w:szCs w:val="20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84"/>
    <w:rPr>
      <w:rFonts w:ascii="Segoe UI" w:eastAsiaTheme="minorEastAsia" w:hAnsi="Segoe UI" w:cs="Segoe UI"/>
      <w:sz w:val="18"/>
      <w:szCs w:val="18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8A5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A0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Eastern Finland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Liimatainen</dc:creator>
  <cp:keywords/>
  <dc:description/>
  <cp:lastModifiedBy>Guðrún Þórðardóttir</cp:lastModifiedBy>
  <cp:revision>2</cp:revision>
  <dcterms:created xsi:type="dcterms:W3CDTF">2019-09-30T10:31:00Z</dcterms:created>
  <dcterms:modified xsi:type="dcterms:W3CDTF">2019-09-30T10:31:00Z</dcterms:modified>
</cp:coreProperties>
</file>